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8B9" w:rsidRDefault="000858B9" w:rsidP="000858B9">
      <w:pPr>
        <w:jc w:val="center"/>
        <w:rPr>
          <w:b/>
          <w:bCs/>
          <w:lang w:val="ru-RU"/>
        </w:rPr>
      </w:pPr>
      <w:r>
        <w:rPr>
          <w:b/>
          <w:bCs/>
          <w:lang w:val="ru-RU"/>
        </w:rPr>
        <w:t>Цветанка Аврамова</w:t>
      </w:r>
    </w:p>
    <w:p w:rsidR="000858B9" w:rsidRDefault="000858B9" w:rsidP="000858B9">
      <w:pPr>
        <w:jc w:val="both"/>
        <w:rPr>
          <w:bCs/>
          <w:lang w:val="ru-RU"/>
        </w:rPr>
      </w:pPr>
    </w:p>
    <w:p w:rsidR="000858B9" w:rsidRDefault="000858B9" w:rsidP="000858B9">
      <w:pPr>
        <w:jc w:val="both"/>
        <w:rPr>
          <w:bCs/>
          <w:lang w:val="ru-RU"/>
        </w:rPr>
      </w:pPr>
      <w:r>
        <w:rPr>
          <w:bCs/>
        </w:rPr>
        <w:t xml:space="preserve">Temat: </w:t>
      </w:r>
      <w:r>
        <w:rPr>
          <w:bCs/>
          <w:lang w:val="ru-RU"/>
        </w:rPr>
        <w:t>Експресивна функция на словообразувателния формант в българския език</w:t>
      </w:r>
    </w:p>
    <w:p w:rsidR="000858B9" w:rsidRDefault="000858B9" w:rsidP="000858B9">
      <w:pPr>
        <w:jc w:val="both"/>
        <w:rPr>
          <w:bCs/>
          <w:lang w:val="ru-RU"/>
        </w:rPr>
      </w:pPr>
    </w:p>
    <w:p w:rsidR="000858B9" w:rsidRDefault="000858B9" w:rsidP="000858B9">
      <w:pPr>
        <w:jc w:val="both"/>
        <w:rPr>
          <w:bCs/>
          <w:lang w:val="ru-RU"/>
        </w:rPr>
      </w:pPr>
      <w:r>
        <w:rPr>
          <w:bCs/>
          <w:lang w:val="ru-RU"/>
        </w:rPr>
        <w:t>Streszczenie:</w:t>
      </w:r>
      <w:r>
        <w:rPr>
          <w:bCs/>
          <w:lang w:val="ru-RU"/>
        </w:rPr>
        <w:tab/>
        <w:t>Докладът разглежда експресивността в българския език, изразявана с помощта на словообразувателни форманти. Като се приема, че в словообразувателния процес един и същ формант не може да изпълнява едновременно различни  функции, предавайки различни по съдържание значения (вж. Балтова 2015), в изследването се прави опит за разграничаване на словообразувателната експресивност, изразявана чрез форманта (напр. в майчица, слънчице, минутка, едничък, голичък, тичкам), от лексикалната експресивност, изразявана чрез значението на основата (напр. в дрипльо, мърльо, забраванко, дъртуша) или чрез употребата на готовата производна лексема в речта (Преклонена главица сабя не я сече).</w:t>
      </w:r>
    </w:p>
    <w:p w:rsidR="000858B9" w:rsidRDefault="000858B9" w:rsidP="000858B9">
      <w:pPr>
        <w:jc w:val="both"/>
      </w:pPr>
    </w:p>
    <w:p w:rsidR="00D528F9" w:rsidRDefault="00D528F9">
      <w:bookmarkStart w:id="0" w:name="_GoBack"/>
      <w:bookmarkEnd w:id="0"/>
    </w:p>
    <w:sectPr w:rsidR="00D52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D25"/>
    <w:rsid w:val="000858B9"/>
    <w:rsid w:val="0018707B"/>
    <w:rsid w:val="002C4946"/>
    <w:rsid w:val="002E400F"/>
    <w:rsid w:val="00896D25"/>
    <w:rsid w:val="0091674D"/>
    <w:rsid w:val="00D528F9"/>
    <w:rsid w:val="00DF0E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972848-D1AD-4B2F-95DA-7F70F5951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70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668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9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678</Characters>
  <Application>Microsoft Office Word</Application>
  <DocSecurity>0</DocSecurity>
  <Lines>5</Lines>
  <Paragraphs>1</Paragraphs>
  <ScaleCrop>false</ScaleCrop>
  <Company>Microsoft</Company>
  <LinksUpToDate>false</LinksUpToDate>
  <CharactersWithSpaces>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ISPAN</dc:creator>
  <cp:keywords/>
  <dc:description/>
  <cp:lastModifiedBy>ISPAN</cp:lastModifiedBy>
  <cp:revision>4</cp:revision>
  <dcterms:created xsi:type="dcterms:W3CDTF">2021-01-11T10:05:00Z</dcterms:created>
  <dcterms:modified xsi:type="dcterms:W3CDTF">2021-01-11T10:10:00Z</dcterms:modified>
</cp:coreProperties>
</file>